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Акт возврата квартиры при выезде</w:t>
      </w:r>
    </w:p>
    <w:p>
      <w:pPr>
        <w:spacing w:after="100"/>
      </w:pPr>
      <w:r>
        <w:t>Город [город]    Дата и время передачи [дата, время]</w:t>
      </w:r>
    </w:p>
    <w:p>
      <w:pPr>
        <w:spacing w:after="100"/>
      </w:pPr>
      <w:r>
        <w:t>К договору [название, номер, дата]. Квартира [полный адрес].</w:t>
      </w:r>
    </w:p>
    <w:p>
      <w:pPr>
        <w:spacing w:after="100"/>
      </w:pPr>
      <w:r>
        <w:t>Передающая сторона [ФИО / наименование, представитель и основание полномочий].</w:t>
      </w:r>
    </w:p>
    <w:p>
      <w:pPr>
        <w:spacing w:after="100"/>
      </w:pPr>
      <w:r>
        <w:t>Принимающая сторона [ФИО / наименование, представитель и основание полномочий].</w:t>
      </w:r>
    </w:p>
    <w:p>
      <w:pPr>
        <w:pStyle w:val="Heading1"/>
        <w:spacing w:after="100"/>
      </w:pPr>
      <w:r>
        <w:t>Факт возврата</w:t>
      </w:r>
    </w:p>
    <w:p>
      <w:pPr>
        <w:spacing w:after="100"/>
      </w:pPr>
      <w:r>
        <w:t>Передающая сторона освободила квартиру и передала её принимающей стороне [дата, время]. Основание прекращения договора и дата его окончания: [документ / пункт договора; если не согласовано, указать это].</w:t>
      </w:r>
    </w:p>
    <w:p>
      <w:pPr>
        <w:spacing w:after="100"/>
      </w:pPr>
      <w:r>
        <w:t>Переданы ключи [количество и назначение], пропуска [перечень]. Непереданные ключи и согласованный порядок передачи: [описание / нет].</w:t>
      </w:r>
    </w:p>
    <w:p>
      <w:pPr>
        <w:pStyle w:val="Heading1"/>
        <w:spacing w:after="100"/>
      </w:pPr>
      <w:r>
        <w:t>Состояние и комплектность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04"/>
        <w:gridCol w:w="4224"/>
        <w:gridCol w:w="3840"/>
      </w:tblGrid>
      <w:tr>
        <w:trPr>
          <w:tblHeader/>
        </w:trPr>
        <w:tc>
          <w:tcPr>
            <w:tcW w:type="dxa" w:w="230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Объект</w:t>
            </w:r>
          </w:p>
        </w:tc>
        <w:tc>
          <w:tcPr>
            <w:tcW w:type="dxa" w:w="422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Состояние при заселении и при возврате</w:t>
            </w:r>
          </w:p>
        </w:tc>
        <w:tc>
          <w:tcPr>
            <w:tcW w:type="dxa" w:w="3840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Замечания и доказательства</w:t>
            </w:r>
          </w:p>
        </w:tc>
      </w:tr>
      <w:t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Отделка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[сравнить с актом заселения]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[фото, износ, повреждение или спор]</w:t>
            </w:r>
          </w:p>
        </w:tc>
      </w:tr>
      <w:t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Мебель и техника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[перечень, комплектность, работоспособность]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[номер фото / видео, замечания]</w:t>
            </w:r>
          </w:p>
        </w:tc>
      </w:tr>
      <w:tr>
        <w:tc>
          <w:tcPr>
            <w:tcW w:type="dxa" w:w="230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Иное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[описание / нет]</w:t>
            </w:r>
          </w:p>
        </w:tc>
        <w:tc>
          <w:tcPr>
            <w:tcW w:type="dxa" w:w="38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[описание / нет]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Показания счётчиков</w:t>
      </w:r>
    </w:p>
    <w:p>
      <w:pPr>
        <w:spacing w:after="100"/>
      </w:pPr>
      <w:r>
        <w:t>Электричество [номер прибора, показание]; холодная вода [номер, показание]; горячая вода [номер, показание]. Фото показаний [перечень]. Отсутствующие приборы и иные ресурсы: [описание].</w:t>
      </w:r>
    </w:p>
    <w:p>
      <w:pPr>
        <w:pStyle w:val="Heading1"/>
        <w:spacing w:after="100"/>
      </w:pPr>
      <w:r>
        <w:t>Окончательный расчёт</w:t>
      </w:r>
    </w:p>
    <w:p>
      <w:pPr>
        <w:spacing w:after="100"/>
      </w:pPr>
      <w:r>
        <w:t>Внесённый обеспечительный платёж [сумма] ₽. Согласованные удержания [основание по договору, сумма, расчёт и документы / нет]. Остаток к возврату [сумма] ₽; согласованный срок и способ возврата [указать].</w:t>
      </w:r>
    </w:p>
    <w:p>
      <w:pPr>
        <w:spacing w:after="100"/>
      </w:pPr>
      <w:r>
        <w:t>Нерешённые вопросы, включая ещё не полученные коммунальные счета: [описать порядок расчёта и срок / нет]. Спорные суммы: [позиции обеих сторон / нет]. Подписание акта не означает согласия со спорным удержанием.</w:t>
      </w:r>
    </w:p>
    <w:p>
      <w:pPr>
        <w:pStyle w:val="Heading1"/>
        <w:spacing w:after="100"/>
      </w:pPr>
      <w:r>
        <w:t>Приложения и подписи</w:t>
      </w:r>
    </w:p>
    <w:p>
      <w:pPr>
        <w:spacing w:after="100"/>
      </w:pPr>
      <w:r>
        <w:t>Приложения: [акт заселения, опись, перечень фото и видео, расчёт; название, дата, количество файлов]. Каждая сторона получила экземпляр акта и доступ к приложениям.</w:t>
      </w:r>
    </w:p>
    <w:p>
      <w:pPr>
        <w:spacing w:after="100"/>
      </w:pPr>
      <w:r>
        <w:t>Передал [ФИО, подпись] __________________    Принял [ФИО, подпись] __________________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Зафиксируйте, когда вернули квартиру и ключи, в каком состоянии осталось имущество и какие расчёты ещё не завершены. Отдельный документ для выезда, а не повторное использование акта заселения.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фиксации фактического возврата квартиры по договору найма или аренды. При найме жилья гражданином применяются правила о найме жилого помещения; статья 622 относится к аренде и не заменяет эти правила. Акт сам по себе не устанавливает основания прекращения договора.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Согласуйте основание и дату прекращения договора отдельно. В акте укажите реальное время передачи и количество ключей.</w:t>
      </w:r>
    </w:p>
    <w:p>
      <w:pPr>
        <w:pStyle w:val="ListNumber"/>
        <w:spacing w:after="100"/>
      </w:pPr>
      <w:r>
        <w:t>Сравните состояние с актом заселения и описью. Отделяйте подтверждённые повреждения от износа и спорных оценок; не пишите автоматически претензий нет.</w:t>
      </w:r>
    </w:p>
    <w:p>
      <w:pPr>
        <w:pStyle w:val="ListNumber"/>
        <w:spacing w:after="100"/>
      </w:pPr>
      <w:r>
        <w:t>Сфотографируйте имущество и счётчики. Перечислите приложения так, чтобы позднее можно было найти именно эти файлы.</w:t>
      </w:r>
    </w:p>
    <w:p>
      <w:pPr>
        <w:pStyle w:val="ListNumber"/>
        <w:spacing w:after="100"/>
      </w:pPr>
      <w:r>
        <w:t>Сверьте размер депозита, основания удержаний и срок возврата с договором. Если часть расчётов не завершена, зафиксируйте это и согласуйте порядок, а не обнуляйте спор общей фразой.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Акт не гарантирует возврат всего депозита. Статья 381.1 ГК РФ допускает иные условия соглашения сторон; спор об удержании требует оценки договора и доказательств.</w:t>
      </w:r>
    </w:p>
    <w:p>
      <w:pPr>
        <w:spacing w:after="100"/>
      </w:pPr>
      <w:r>
        <w:t>Срок возврата денег стороны указывают с учётом договора. Универсального семидневного срока этот шаблон не устанавливает.</w:t>
      </w:r>
    </w:p>
    <w:p>
      <w:pPr>
        <w:spacing w:after="100"/>
      </w:pPr>
      <w:r>
        <w:t>Если другая сторона не приходит или отказывается подписывать акт, не создавайте её подпись. Сохраните приглашение на передачу и доказательства; дальнейший порядок зависит от договора и обстоятельств.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381.1 об обеспечительном платеже</w:t>
      </w:r>
    </w:p>
    <w:p>
      <w:pPr>
        <w:spacing w:after="100"/>
      </w:pPr>
      <w:r>
        <w:rPr>
          <w:sz w:val="18"/>
        </w:rPr>
        <w:t>https://www.consultant.ru/document/cons_doc_LAW_5142/86072fde18c3cb11bd54a4c116530062a3daeb6c/</w:t>
      </w:r>
    </w:p>
    <w:p>
      <w:pPr>
        <w:spacing w:after="100"/>
      </w:pPr>
      <w:r>
        <w:t>ГК РФ статья 622 о возврате арендованного имущества</w:t>
      </w:r>
    </w:p>
    <w:p>
      <w:pPr>
        <w:spacing w:after="100"/>
      </w:pPr>
      <w:r>
        <w:rPr>
          <w:sz w:val="18"/>
        </w:rPr>
        <w:t>https://www.consultant.ru/document/cons_doc_LAW_9027/10e66795c5ba71f7dd4e6ed5e559db67255f7e1e/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https://prodogovor.online/dokumenty/akt-vozvrata-kvartiry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 при выезде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