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Техническое задание на разработку сайта</w:t>
      </w:r>
    </w:p>
    <w:p>
      <w:pPr>
        <w:spacing w:after="60"/>
      </w:pPr>
      <w:r>
        <w:t>Учебный пример. Организации, даты и проект вымышлены; это не готовая спецификация для вашей разработки.</w:t>
      </w:r>
    </w:p>
    <w:p>
      <w:pPr>
        <w:spacing w:after="60"/>
      </w:pPr>
      <w:r>
        <w:t>Приложение № 1 к учебному договору № У-03 от 3 октября 2026 года. ТЗ версия 1 от 3 октября 2026 года.</w:t>
      </w:r>
    </w:p>
    <w:p>
      <w:pPr>
        <w:spacing w:after="60"/>
      </w:pPr>
      <w:r>
        <w:t>Заказчик: учебная организация Пример. Разработчик: учебная организация Образец.</w:t>
      </w:r>
    </w:p>
    <w:p>
      <w:pPr>
        <w:spacing w:after="60"/>
      </w:pPr>
      <w:r>
        <w:t>Цель: показать портфолио учебной студии. Тестовый стенд — локальная среда разработчика; публичный адрес не используется.</w:t>
      </w:r>
    </w:p>
    <w:p>
      <w:pPr>
        <w:pStyle w:val="Heading1"/>
        <w:spacing w:after="60"/>
      </w:pPr>
      <w:r>
        <w:t>Объём и критерии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6"/>
        <w:gridCol w:w="5184"/>
        <w:gridCol w:w="2688"/>
      </w:tblGrid>
      <w:tr>
        <w:trPr>
          <w:tblHeader/>
        </w:trPr>
        <w:tc>
          <w:tcPr>
            <w:tcW w:type="dxa" w:w="2496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Результат</w:t>
            </w:r>
          </w:p>
        </w:tc>
        <w:tc>
          <w:tcPr>
            <w:tcW w:type="dxa" w:w="518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Проверка</w:t>
            </w:r>
          </w:p>
        </w:tc>
        <w:tc>
          <w:tcPr>
            <w:tcW w:type="dxa" w:w="268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Комплект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Три страницы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Главная, портфолио с шестью карточками, контакты. Блоки соответствуют согласованному макету версии 1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Три готовые страницы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Навигация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Каждый пункт меню открывает нужную страницу; нет битых внутренних ссылок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Меню и протокол теста</w:t>
            </w:r>
          </w:p>
        </w:tc>
      </w:tr>
      <w:tr>
        <w:tc>
          <w:tcPr>
            <w:tcW w:type="dxa" w:w="24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Адаптивность</w:t>
            </w:r>
          </w:p>
        </w:tc>
        <w:tc>
          <w:tcPr>
            <w:tcW w:type="dxa" w:w="51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На ширинах 375, 768 и 1440 px нет горизонтальной прокрутки и перекрытия текста; меню доступно клавиатурой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Проверенный интерфейс</w:t>
            </w:r>
          </w:p>
        </w:tc>
      </w:tr>
    </w:tbl>
    <w:p>
      <w:pPr>
        <w:spacing w:after="60"/>
      </w:pPr>
    </w:p>
    <w:p>
      <w:pPr>
        <w:pStyle w:val="Heading1"/>
        <w:spacing w:after="60"/>
      </w:pPr>
      <w:r>
        <w:t>Исходные материалы и границы</w:t>
      </w:r>
    </w:p>
    <w:p>
      <w:pPr>
        <w:spacing w:after="60"/>
      </w:pPr>
      <w:r>
        <w:t>Заказчик передаёт шесть разрешённых к использованию учебных изображений и тексты 5 октября. При нехватке материалов разработчик сообщает в ЭДО в течение рабочего дня. Новый график согласуется отдельно.</w:t>
      </w:r>
    </w:p>
    <w:p>
      <w:pPr>
        <w:spacing w:after="60"/>
      </w:pPr>
      <w:r>
        <w:t>В объём не входят магазин, кабинет, форма заявки, аналитика, публикация и SEO-продвижение. В учебном примере данные посетителей не собираются. Для реального публичного запуска потребуется отдельно оценить обработку данных, включая серверные журналы. Платные компоненты не используются.</w:t>
      </w:r>
    </w:p>
    <w:p>
      <w:pPr>
        <w:pStyle w:val="Heading1"/>
        <w:spacing w:after="60"/>
      </w:pPr>
      <w:r>
        <w:t>Этапы и передача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40"/>
        <w:gridCol w:w="2688"/>
        <w:gridCol w:w="3840"/>
      </w:tblGrid>
      <w:tr>
        <w:trPr>
          <w:tblHeader/>
        </w:trPr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Этап</w:t>
            </w:r>
          </w:p>
        </w:tc>
        <w:tc>
          <w:tcPr>
            <w:tcW w:type="dxa" w:w="2688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Даты</w:t>
            </w:r>
          </w:p>
        </w:tc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Проверка и передача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Макет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6–8 октября 2026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Представитель заказчика проверяет PDF макета версии 1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Разработка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9–15 октября 2026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Тестовый стенд и протокол проверок</w:t>
            </w:r>
          </w:p>
        </w:tc>
      </w:tr>
      <w:tr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Комплект сдачи</w:t>
            </w:r>
          </w:p>
        </w:tc>
        <w:tc>
          <w:tcPr>
            <w:tcW w:type="dxa" w:w="26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16 октября 2026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Архив исходников, инструкция запуска и перечень лицензий</w:t>
            </w:r>
          </w:p>
        </w:tc>
      </w:tr>
    </w:tbl>
    <w:p>
      <w:pPr>
        <w:spacing w:after="60"/>
      </w:pPr>
    </w:p>
    <w:p>
      <w:pPr>
        <w:pStyle w:val="Heading1"/>
        <w:spacing w:after="60"/>
      </w:pPr>
      <w:r>
        <w:t>Приёмка и изменения</w:t>
      </w:r>
    </w:p>
    <w:p>
      <w:pPr>
        <w:spacing w:after="60"/>
      </w:pPr>
      <w:r>
        <w:t>Учебный договор предусматривает пять рабочих дней на проверку после получения комплектного результата. Замечания содержат пункт ТЗ, шаги и фактический результат. Исправления проверяются повторно в течение трёх рабочих дней после передачи.</w:t>
      </w:r>
    </w:p>
    <w:p>
      <w:pPr>
        <w:spacing w:after="60"/>
      </w:pPr>
      <w:r>
        <w:t>Новые страницы и функции требуют новой версии ТЗ с согласованными ценой и сроком. Молчание само по себе этот пример не объявляет приёмкой.</w:t>
      </w:r>
    </w:p>
    <w:p>
      <w:pPr>
        <w:pStyle w:val="Heading1"/>
        <w:spacing w:after="60"/>
      </w:pPr>
      <w:r>
        <w:t>Комплект сдачи и подписи</w:t>
      </w:r>
    </w:p>
    <w:p>
      <w:pPr>
        <w:spacing w:after="60"/>
      </w:pPr>
      <w:r>
        <w:t>Передаются архив исходного кода, инструкция локального запуска и перечень сторонних компонентов с лицензиями. Учебный договор отдельно описывает права на оригинальный код и дизайн, ограничения сторонних лицензий и момент передачи прав. Пароли не нужны и не включены.</w:t>
      </w:r>
    </w:p>
    <w:p>
      <w:pPr>
        <w:spacing w:after="60"/>
      </w:pPr>
      <w:r>
        <w:t>Заказчик Иван Учебный __________________</w:t>
      </w:r>
    </w:p>
    <w:p>
      <w:pPr>
        <w:spacing w:after="60"/>
      </w:pPr>
      <w:r>
        <w:t>Разработчик Мария Примерова __________________</w:t>
      </w:r>
    </w:p>
    <w:p>
      <w:pPr>
        <w:pStyle w:val="Title"/>
        <w:pageBreakBefore/>
        <w:spacing w:after="60"/>
      </w:pPr>
      <w:r>
        <w:t>Инструкция по заполнению</w:t>
      </w:r>
    </w:p>
    <w:p>
      <w:pPr>
        <w:spacing w:after="60"/>
      </w:pPr>
      <w:r>
        <w:t>Превратите обещание сделать удобный сайт в список проверяемых результатов. Шаблон связывает функцию, способ проверки и подтверждение сдачи, чтобы новые пожелания не смешивались с исправлением дефектов.</w:t>
      </w:r>
    </w:p>
    <w:p>
      <w:pPr>
        <w:pStyle w:val="Heading1"/>
        <w:spacing w:after="60"/>
      </w:pPr>
      <w:r>
        <w:t>Область применения</w:t>
      </w:r>
    </w:p>
    <w:p>
      <w:pPr>
        <w:spacing w:after="60"/>
      </w:pPr>
      <w:r>
        <w:t>Приложение к договору разработки небольшого сайта. Для сложной системы нужны дополнительные спецификации, архитектура и требования безопасности. Правовой режим договора и прав на результат зависит от состава работ; ТЗ не заменяет договор и не передаёт права само по себе.</w:t>
      </w:r>
    </w:p>
    <w:p>
      <w:pPr>
        <w:pStyle w:val="Heading1"/>
        <w:spacing w:after="60"/>
      </w:pPr>
      <w:r>
        <w:t>Порядок заполнения</w:t>
      </w:r>
    </w:p>
    <w:p>
      <w:pPr>
        <w:pStyle w:val="ListNumber"/>
        <w:spacing w:after="60"/>
      </w:pPr>
      <w:r>
        <w:t>Определите цель, страницы и сценарии. Для каждого результата задайте проверку: что делает пользователь и что должно произойти.</w:t>
      </w:r>
    </w:p>
    <w:p>
      <w:pPr>
        <w:pStyle w:val="ListNumber"/>
        <w:spacing w:after="60"/>
      </w:pPr>
      <w:r>
        <w:t>Укажите конкретные макеты, версии, браузеры и размеры экрана. Удобный, современный и быстрый без критерия нельзя одинаково проверить.</w:t>
      </w:r>
    </w:p>
    <w:p>
      <w:pPr>
        <w:pStyle w:val="ListNumber"/>
        <w:spacing w:after="60"/>
      </w:pPr>
      <w:r>
        <w:t>Запишите этапы, даты, материалы заказчика и комплект сдачи. Проверьте согласованность с договором, оплатой и положениями о правах на код и сторонние компоненты.</w:t>
      </w:r>
    </w:p>
    <w:p>
      <w:pPr>
        <w:pStyle w:val="ListNumber"/>
        <w:spacing w:after="60"/>
      </w:pPr>
      <w:r>
        <w:t>Отделите исправление несоответствия согласованному ТЗ от новой функции. Согласовывайте новую версию задания вместе с влиянием на стоимость и сроки.</w:t>
      </w:r>
    </w:p>
    <w:p>
      <w:pPr>
        <w:pStyle w:val="Heading1"/>
        <w:spacing w:after="60"/>
      </w:pPr>
      <w:r>
        <w:t>Ограничения</w:t>
      </w:r>
    </w:p>
    <w:p>
      <w:pPr>
        <w:spacing w:after="60"/>
      </w:pPr>
      <w:r>
        <w:t>ТЗ не гарантирует рост продаж, позиции в поиске или конкретную скорость без согласованной методики измерения. Не обещайте показатели, зависящие от внешних условий.</w:t>
      </w:r>
    </w:p>
    <w:p>
      <w:pPr>
        <w:spacing w:after="60"/>
      </w:pPr>
      <w:r>
        <w:t>Передача исходников и доступов не равна автоматическому переходу всех исключительных прав. Согласуйте права на код, дизайн и сторонние компоненты в договоре.</w:t>
      </w:r>
    </w:p>
    <w:p>
      <w:pPr>
        <w:spacing w:after="60"/>
      </w:pPr>
      <w:r>
        <w:t>Пустые поля о данных и безопасности нельзя просто оставить при рабочей форме заявки. Требования нужно определить под реальный проект до начала работы.</w:t>
      </w:r>
    </w:p>
    <w:p>
      <w:pPr>
        <w:pStyle w:val="Heading1"/>
        <w:spacing w:after="60"/>
      </w:pPr>
      <w:r>
        <w:t>Правовые ориентиры</w:t>
      </w:r>
    </w:p>
    <w:p>
      <w:pPr>
        <w:spacing w:after="60"/>
      </w:pPr>
      <w:r>
        <w:t>ГК РФ статья 702 о задании и результате работы</w:t>
      </w:r>
    </w:p>
    <w:p>
      <w:pPr>
        <w:spacing w:after="60"/>
      </w:pPr>
      <w:r>
        <w:rPr>
          <w:sz w:val="18"/>
        </w:rPr>
        <w:t>https://www.consultant.ru/document/cons_doc_LAW_9027/416441e14a600610e2ba0765f72cb72c290cdc3c/</w:t>
      </w:r>
    </w:p>
    <w:p>
      <w:pPr>
        <w:spacing w:after="60"/>
      </w:pPr>
      <w:r>
        <w:t>ГК РФ статья 708 о сроках работы</w:t>
      </w:r>
    </w:p>
    <w:p>
      <w:pPr>
        <w:spacing w:after="60"/>
      </w:pPr>
      <w:r>
        <w:rPr>
          <w:sz w:val="18"/>
        </w:rPr>
        <w:t>https://www.consultant.ru/document/cons_doc_LAW_9027/94492e64fdea026f033e334a2f18b7f1de1f04a0/</w:t>
      </w:r>
    </w:p>
    <w:p>
      <w:pPr>
        <w:spacing w:after="60"/>
      </w:pPr>
      <w:r>
        <w:t>ГК РФ статья 721 о качестве результата</w:t>
      </w:r>
    </w:p>
    <w:p>
      <w:pPr>
        <w:spacing w:after="60"/>
      </w:pPr>
      <w:r>
        <w:rPr>
          <w:sz w:val="18"/>
        </w:rPr>
        <w:t>https://www.consultant.ru/document/cons_doc_LAW_9027/e3c9f494588eba84349f9aaf8082c329384eb340/</w:t>
      </w:r>
    </w:p>
    <w:p>
      <w:pPr>
        <w:spacing w:after="6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60"/>
      </w:pPr>
      <w:r>
        <w:t>Другие материалы и проверка договора: https://prodogovor.online/dokumenty/tehnicheskoe-zadanie-na-razrabotku-sayta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разработку сайта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