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</w:pPr>
      <w:r>
        <w:t>Техническое задание на разработку сайта</w:t>
      </w:r>
    </w:p>
    <w:p>
      <w:pPr>
        <w:spacing w:after="60"/>
      </w:pPr>
      <w:r>
        <w:t>Приложение [номер] к договору [номер, дата]. Версия ТЗ [номер, дата].</w:t>
      </w:r>
    </w:p>
    <w:p>
      <w:pPr>
        <w:spacing w:after="60"/>
      </w:pPr>
      <w:r>
        <w:t>Заказчик [наименование, представитель]. Разработчик [наименование, представитель].</w:t>
      </w:r>
    </w:p>
    <w:p>
      <w:pPr>
        <w:spacing w:after="60"/>
      </w:pPr>
      <w:r>
        <w:t>Цель сайта и аудитория [конкретная задача]. Адрес тестового стенда [адрес].</w:t>
      </w:r>
    </w:p>
    <w:p>
      <w:pPr>
        <w:pStyle w:val="Heading1"/>
        <w:spacing w:after="60"/>
      </w:pPr>
      <w:r>
        <w:t>Объём и критерии результата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96"/>
        <w:gridCol w:w="5184"/>
        <w:gridCol w:w="2688"/>
      </w:tblGrid>
      <w:tr>
        <w:trPr>
          <w:tblHeader/>
        </w:trPr>
        <w:tc>
          <w:tcPr>
            <w:tcW w:type="dxa" w:w="2496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Страница или функция</w:t>
            </w:r>
          </w:p>
        </w:tc>
        <w:tc>
          <w:tcPr>
            <w:tcW w:type="dxa" w:w="5184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Требование и способ проверки</w:t>
            </w:r>
          </w:p>
        </w:tc>
        <w:tc>
          <w:tcPr>
            <w:tcW w:type="dxa" w:w="2688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Что передаётся</w:t>
            </w:r>
          </w:p>
        </w:tc>
      </w:tr>
      <w:tr>
        <w:tc>
          <w:tcPr>
            <w:tcW w:type="dxa" w:w="249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[страницы]</w:t>
            </w:r>
          </w:p>
        </w:tc>
        <w:tc>
          <w:tcPr>
            <w:tcW w:type="dxa" w:w="51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[состав блоков, макет, версия]</w:t>
            </w:r>
          </w:p>
        </w:tc>
        <w:tc>
          <w:tcPr>
            <w:tcW w:type="dxa" w:w="26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[готовые страницы]</w:t>
            </w:r>
          </w:p>
        </w:tc>
      </w:tr>
      <w:tr>
        <w:tc>
          <w:tcPr>
            <w:tcW w:type="dxa" w:w="249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[форма / функция]</w:t>
            </w:r>
          </w:p>
        </w:tc>
        <w:tc>
          <w:tcPr>
            <w:tcW w:type="dxa" w:w="51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[входные данные, ожидаемый результат, тест]</w:t>
            </w:r>
          </w:p>
        </w:tc>
        <w:tc>
          <w:tcPr>
            <w:tcW w:type="dxa" w:w="26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[работающая функция]</w:t>
            </w:r>
          </w:p>
        </w:tc>
      </w:tr>
      <w:tr>
        <w:tc>
          <w:tcPr>
            <w:tcW w:type="dxa" w:w="249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[адаптивность]</w:t>
            </w:r>
          </w:p>
        </w:tc>
        <w:tc>
          <w:tcPr>
            <w:tcW w:type="dxa" w:w="51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[размеры экрана, браузеры, сценарии]</w:t>
            </w:r>
          </w:p>
        </w:tc>
        <w:tc>
          <w:tcPr>
            <w:tcW w:type="dxa" w:w="26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[проверенный интерфейс]</w:t>
            </w:r>
          </w:p>
        </w:tc>
      </w:tr>
    </w:tbl>
    <w:p>
      <w:pPr>
        <w:spacing w:after="60"/>
      </w:pPr>
    </w:p>
    <w:p>
      <w:pPr>
        <w:pStyle w:val="Heading1"/>
        <w:spacing w:after="60"/>
      </w:pPr>
      <w:r>
        <w:t>Исходные материалы и границы</w:t>
      </w:r>
    </w:p>
    <w:p>
      <w:pPr>
        <w:spacing w:after="60"/>
      </w:pPr>
      <w:r>
        <w:t>Заказчик передаёт [тексты, изображения, доступы] до [дата], подтверждает право использования материалов. Разработчик сообщает о недостающих данных [канал, срок]. Последствия задержки и перенос этапов согласуются по договору.</w:t>
      </w:r>
    </w:p>
    <w:p>
      <w:pPr>
        <w:spacing w:after="60"/>
      </w:pPr>
      <w:r>
        <w:t>Не входят в объём: [перечень]. Внешние сервисы, хостинг, домен и платные лицензии: [что, кто приобретает и оплачивает]. Персональные данные, роли сторон, согласия, хранение и доступ: [отдельные согласованные требования / обоснованное отсутствие обработки].</w:t>
      </w:r>
    </w:p>
    <w:p>
      <w:pPr>
        <w:pStyle w:val="Heading1"/>
        <w:spacing w:after="60"/>
      </w:pPr>
      <w:r>
        <w:t>Этапы и передача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840"/>
        <w:gridCol w:w="2688"/>
        <w:gridCol w:w="3840"/>
      </w:tblGrid>
      <w:tr>
        <w:trPr>
          <w:tblHeader/>
        </w:trPr>
        <w:tc>
          <w:tcPr>
            <w:tcW w:type="dxa" w:w="3840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Этап и результат</w:t>
            </w:r>
          </w:p>
        </w:tc>
        <w:tc>
          <w:tcPr>
            <w:tcW w:type="dxa" w:w="2688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Начало и окончание</w:t>
            </w:r>
          </w:p>
        </w:tc>
        <w:tc>
          <w:tcPr>
            <w:tcW w:type="dxa" w:w="3840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Кто проверяет и что получает</w:t>
            </w:r>
          </w:p>
        </w:tc>
      </w:tr>
      <w:tr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[макеты]</w:t>
            </w:r>
          </w:p>
        </w:tc>
        <w:tc>
          <w:tcPr>
            <w:tcW w:type="dxa" w:w="26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[даты]</w:t>
            </w:r>
          </w:p>
        </w:tc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[ответственный, формат]</w:t>
            </w:r>
          </w:p>
        </w:tc>
      </w:tr>
      <w:tr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[разработка и тесты]</w:t>
            </w:r>
          </w:p>
        </w:tc>
        <w:tc>
          <w:tcPr>
            <w:tcW w:type="dxa" w:w="26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[даты]</w:t>
            </w:r>
          </w:p>
        </w:tc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[стенд, протокол]</w:t>
            </w:r>
          </w:p>
        </w:tc>
      </w:tr>
      <w:tr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[передача]</w:t>
            </w:r>
          </w:p>
        </w:tc>
        <w:tc>
          <w:tcPr>
            <w:tcW w:type="dxa" w:w="26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[даты]</w:t>
            </w:r>
          </w:p>
        </w:tc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[исходники, инструкция, доступы]</w:t>
            </w:r>
          </w:p>
        </w:tc>
      </w:tr>
    </w:tbl>
    <w:p>
      <w:pPr>
        <w:spacing w:after="60"/>
      </w:pPr>
    </w:p>
    <w:p>
      <w:pPr>
        <w:pStyle w:val="Heading1"/>
        <w:spacing w:after="60"/>
      </w:pPr>
      <w:r>
        <w:t>Приёмка и изменения</w:t>
      </w:r>
    </w:p>
    <w:p>
      <w:pPr>
        <w:spacing w:after="60"/>
      </w:pPr>
      <w:r>
        <w:t>После передачи результата и комплектных материалов заказчик проверяет критерии из таблицы в течение [согласованный срок]. Замечание содержит пункт ТЗ, шаги воспроизведения и фактический результат. Повторная проверка исправлений: [срок и порядок по договору].</w:t>
      </w:r>
    </w:p>
    <w:p>
      <w:pPr>
        <w:spacing w:after="60"/>
      </w:pPr>
      <w:r>
        <w:t>Изменение состава функций, макетов или критериев фиксируется новой версией ТЗ после согласования цены и сроков. Правило о последствиях молчания, если оно нужно сторонам, согласуется отдельно в договоре.</w:t>
      </w:r>
    </w:p>
    <w:p>
      <w:pPr>
        <w:pStyle w:val="Heading1"/>
        <w:spacing w:after="60"/>
      </w:pPr>
      <w:r>
        <w:t>Комплект сдачи и подписи</w:t>
      </w:r>
    </w:p>
    <w:p>
      <w:pPr>
        <w:spacing w:after="60"/>
      </w:pPr>
      <w:r>
        <w:t>Передаются [репозиторий, исходники, сборка, инструкция развёртывания, перечень зависимостей и лицензий, доступы безопасным каналом]. Порядок и объём передачи прав определяются [пункт договора / отдельное соглашение]. Пароли в публичные приложения не включаются.</w:t>
      </w:r>
    </w:p>
    <w:p>
      <w:pPr>
        <w:spacing w:after="60"/>
      </w:pPr>
      <w:r>
        <w:t>Заказчик [ФИО, подпись] __________________    Разработчик [ФИО, подпись] __________________</w:t>
      </w:r>
    </w:p>
    <w:p>
      <w:pPr>
        <w:pStyle w:val="Title"/>
        <w:pageBreakBefore/>
        <w:spacing w:after="60"/>
      </w:pPr>
      <w:r>
        <w:t>Инструкция по заполнению</w:t>
      </w:r>
    </w:p>
    <w:p>
      <w:pPr>
        <w:spacing w:after="60"/>
      </w:pPr>
      <w:r>
        <w:t>Превратите обещание сделать удобный сайт в список проверяемых результатов. Шаблон связывает функцию, способ проверки и подтверждение сдачи, чтобы новые пожелания не смешивались с исправлением дефектов.</w:t>
      </w:r>
    </w:p>
    <w:p>
      <w:pPr>
        <w:pStyle w:val="Heading1"/>
        <w:spacing w:after="60"/>
      </w:pPr>
      <w:r>
        <w:t>Область применения</w:t>
      </w:r>
    </w:p>
    <w:p>
      <w:pPr>
        <w:spacing w:after="60"/>
      </w:pPr>
      <w:r>
        <w:t>Приложение к договору разработки небольшого сайта. Для сложной системы нужны дополнительные спецификации, архитектура и требования безопасности. Правовой режим договора и прав на результат зависит от состава работ; ТЗ не заменяет договор и не передаёт права само по себе.</w:t>
      </w:r>
    </w:p>
    <w:p>
      <w:pPr>
        <w:pStyle w:val="Heading1"/>
        <w:spacing w:after="60"/>
      </w:pPr>
      <w:r>
        <w:t>Порядок заполнения</w:t>
      </w:r>
    </w:p>
    <w:p>
      <w:pPr>
        <w:pStyle w:val="ListNumber"/>
        <w:spacing w:after="60"/>
      </w:pPr>
      <w:r>
        <w:t>Определите цель, страницы и сценарии. Для каждого результата задайте проверку: что делает пользователь и что должно произойти.</w:t>
      </w:r>
    </w:p>
    <w:p>
      <w:pPr>
        <w:pStyle w:val="ListNumber"/>
        <w:spacing w:after="60"/>
      </w:pPr>
      <w:r>
        <w:t>Укажите конкретные макеты, версии, браузеры и размеры экрана. Удобный, современный и быстрый без критерия нельзя одинаково проверить.</w:t>
      </w:r>
    </w:p>
    <w:p>
      <w:pPr>
        <w:pStyle w:val="ListNumber"/>
        <w:spacing w:after="60"/>
      </w:pPr>
      <w:r>
        <w:t>Запишите этапы, даты, материалы заказчика и комплект сдачи. Проверьте согласованность с договором, оплатой и положениями о правах на код и сторонние компоненты.</w:t>
      </w:r>
    </w:p>
    <w:p>
      <w:pPr>
        <w:pStyle w:val="ListNumber"/>
        <w:spacing w:after="60"/>
      </w:pPr>
      <w:r>
        <w:t>Отделите исправление несоответствия согласованному ТЗ от новой функции. Согласовывайте новую версию задания вместе с влиянием на стоимость и сроки.</w:t>
      </w:r>
    </w:p>
    <w:p>
      <w:pPr>
        <w:pStyle w:val="Heading1"/>
        <w:spacing w:after="60"/>
      </w:pPr>
      <w:r>
        <w:t>Ограничения</w:t>
      </w:r>
    </w:p>
    <w:p>
      <w:pPr>
        <w:spacing w:after="60"/>
      </w:pPr>
      <w:r>
        <w:t>ТЗ не гарантирует рост продаж, позиции в поиске или конкретную скорость без согласованной методики измерения. Не обещайте показатели, зависящие от внешних условий.</w:t>
      </w:r>
    </w:p>
    <w:p>
      <w:pPr>
        <w:spacing w:after="60"/>
      </w:pPr>
      <w:r>
        <w:t>Передача исходников и доступов не равна автоматическому переходу всех исключительных прав. Согласуйте права на код, дизайн и сторонние компоненты в договоре.</w:t>
      </w:r>
    </w:p>
    <w:p>
      <w:pPr>
        <w:spacing w:after="60"/>
      </w:pPr>
      <w:r>
        <w:t>Пустые поля о данных и безопасности нельзя просто оставить при рабочей форме заявки. Требования нужно определить под реальный проект до начала работы.</w:t>
      </w:r>
    </w:p>
    <w:p>
      <w:pPr>
        <w:pStyle w:val="Heading1"/>
        <w:spacing w:after="60"/>
      </w:pPr>
      <w:r>
        <w:t>Правовые ориентиры</w:t>
      </w:r>
    </w:p>
    <w:p>
      <w:pPr>
        <w:spacing w:after="60"/>
      </w:pPr>
      <w:r>
        <w:t>ГК РФ статья 702 о задании и результате работы</w:t>
      </w:r>
    </w:p>
    <w:p>
      <w:pPr>
        <w:spacing w:after="60"/>
      </w:pPr>
      <w:r>
        <w:rPr>
          <w:sz w:val="18"/>
        </w:rPr>
        <w:t>https://www.consultant.ru/document/cons_doc_LAW_9027/416441e14a600610e2ba0765f72cb72c290cdc3c/</w:t>
      </w:r>
    </w:p>
    <w:p>
      <w:pPr>
        <w:spacing w:after="60"/>
      </w:pPr>
      <w:r>
        <w:t>ГК РФ статья 708 о сроках работы</w:t>
      </w:r>
    </w:p>
    <w:p>
      <w:pPr>
        <w:spacing w:after="60"/>
      </w:pPr>
      <w:r>
        <w:rPr>
          <w:sz w:val="18"/>
        </w:rPr>
        <w:t>https://www.consultant.ru/document/cons_doc_LAW_9027/94492e64fdea026f033e334a2f18b7f1de1f04a0/</w:t>
      </w:r>
    </w:p>
    <w:p>
      <w:pPr>
        <w:spacing w:after="60"/>
      </w:pPr>
      <w:r>
        <w:t>ГК РФ статья 721 о качестве результата</w:t>
      </w:r>
    </w:p>
    <w:p>
      <w:pPr>
        <w:spacing w:after="60"/>
      </w:pPr>
      <w:r>
        <w:rPr>
          <w:sz w:val="18"/>
        </w:rPr>
        <w:t>https://www.consultant.ru/document/cons_doc_LAW_9027/e3c9f494588eba84349f9aaf8082c329384eb340/</w:t>
      </w:r>
    </w:p>
    <w:p>
      <w:pPr>
        <w:spacing w:after="60"/>
      </w:pPr>
      <w:r>
        <w:t>Общие нормы сверены 3 октября 2026. Шаблон требует адаптации к вашей сделке и не заменяет индивидуальную юридическую консультацию.</w:t>
      </w:r>
    </w:p>
    <w:p>
      <w:pPr>
        <w:spacing w:after="60"/>
      </w:pPr>
      <w:r>
        <w:t>Другие материалы и проверка договора: https://prodogovor.online/dokumenty/tehnicheskoe-zadanie-na-razrabotku-sayta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разработку сайта</dc:title>
  <dc:subject/>
  <dc:creator>ПроверкаДоговоров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