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t>Мотивированные замечания к акту выполненных работ</w:t>
      </w:r>
    </w:p>
    <w:p>
      <w:pPr>
        <w:spacing w:after="100"/>
      </w:pPr>
      <w:r>
        <w:t>Учебный пример. Все стороны, даты, номера и факты вымышлены.</w:t>
      </w:r>
    </w:p>
    <w:p>
      <w:pPr>
        <w:spacing w:after="100"/>
      </w:pPr>
      <w:r>
        <w:t>От учебной организации Заказчик Пример. Подрядчику учебной организации Веб Образец. Канал: согласованная система ЭДО.</w:t>
      </w:r>
    </w:p>
    <w:p>
      <w:pPr>
        <w:spacing w:after="100"/>
      </w:pPr>
      <w:r>
        <w:t>3 октября 2026 года. Договор № У-02 от 1 сентября 2026 года. Акт № А-1 от 2 октября 2026 года получен в ЭДО 2 октября.</w:t>
      </w:r>
    </w:p>
    <w:p>
      <w:pPr>
        <w:spacing w:after="100"/>
      </w:pPr>
      <w:r>
        <w:t>Результат: учебный сайт на тестовом стенде. Ответ по пункту 4.2 договора — в течение пяти рабочих дней после передачи результата и акта.</w:t>
      </w:r>
    </w:p>
    <w:p>
      <w:pPr>
        <w:pStyle w:val="Heading1"/>
        <w:spacing w:after="100"/>
      </w:pPr>
      <w:r>
        <w:t>Результаты осмотра</w:t>
      </w:r>
    </w:p>
    <w:p>
      <w:pPr>
        <w:spacing w:after="100"/>
      </w:pPr>
      <w:r>
        <w:t>Осмотр тестового стенда проведён 3 октября 2026 года представителями обеих сторон. Остальные страницы проверены; замечания ниже относятся к форме заявки и мобильному меню. Приёмка всего результата ещё не оформлена.</w:t>
      </w:r>
    </w:p>
    <w:p>
      <w:pPr>
        <w:pStyle w:val="Heading1"/>
        <w:spacing w:after="100"/>
      </w:pPr>
      <w:r>
        <w:t>Конкретные несоответствия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72"/>
        <w:gridCol w:w="4224"/>
        <w:gridCol w:w="3072"/>
      </w:tblGrid>
      <w:tr>
        <w:trPr>
          <w:tblHeader/>
        </w:trPr>
        <w:tc>
          <w:tcPr>
            <w:tcW w:type="dxa" w:w="3072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Требование ТЗ версии 1</w:t>
            </w:r>
          </w:p>
        </w:tc>
        <w:tc>
          <w:tcPr>
            <w:tcW w:type="dxa" w:w="4224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Несоответствие и доказательство</w:t>
            </w:r>
          </w:p>
        </w:tc>
        <w:tc>
          <w:tcPr>
            <w:tcW w:type="dxa" w:w="3072"/>
            <w:vAlign w:val="center"/>
            <w:shd w:fill="E8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/>
                <w:sz w:val="22"/>
              </w:rPr>
              <w:t>Требуемое действие</w:t>
            </w:r>
          </w:p>
        </w:tc>
      </w:tr>
      <w:tr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Пункт 3.1: заявка сохраняется и доступна администратору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После отправки запись отсутствует; протокол Т-01, шаги 1–4</w:t>
            </w:r>
          </w:p>
        </w:tc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Обеспечить сохранение и проверку записи</w:t>
            </w:r>
          </w:p>
        </w:tc>
      </w:tr>
      <w:tr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Пункт 3.2: меню открывается при ширине 375 px</w:t>
            </w:r>
          </w:p>
        </w:tc>
        <w:tc>
          <w:tcPr>
            <w:tcW w:type="dxa" w:w="42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Кнопка не раскрывает меню; видео В-01</w:t>
            </w:r>
          </w:p>
        </w:tc>
        <w:tc>
          <w:tcPr>
            <w:tcW w:type="dxa" w:w="30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2"/>
              </w:rPr>
              <w:t>Исправить обработку кнопки</w:t>
            </w:r>
          </w:p>
        </w:tc>
      </w:tr>
    </w:tbl>
    <w:p>
      <w:pPr>
        <w:spacing w:after="100"/>
      </w:pPr>
    </w:p>
    <w:p>
      <w:pPr>
        <w:pStyle w:val="Heading1"/>
        <w:spacing w:after="100"/>
      </w:pPr>
      <w:r>
        <w:t>Ответ на акт и следующий шаг</w:t>
      </w:r>
    </w:p>
    <w:p>
      <w:pPr>
        <w:spacing w:after="100"/>
      </w:pPr>
      <w:r>
        <w:t>Акт с формулировкой о полном соответствии ТЗ и отсутствии замечаний в предложенной редакции не подписываем: перечисленные требования не выполнены.</w:t>
      </w:r>
    </w:p>
    <w:p>
      <w:pPr>
        <w:spacing w:after="100"/>
      </w:pPr>
      <w:r>
        <w:t>Просим безвозмездно устранить перечисленные недостатки до 12 октября 2026 года. Срок предложен с учётом объёма двух исправлений; просим подтвердить его или обосновать другой разумный срок в ЭДО. Предлагаем совместную повторную проверку 13 октября на том же стенде.</w:t>
      </w:r>
    </w:p>
    <w:p>
      <w:pPr>
        <w:spacing w:after="100"/>
      </w:pPr>
      <w:r>
        <w:t>Уведомление не является автоматическим освобождением от оплаты или отказом от договора. Расчёты определяются договором и законом.</w:t>
      </w:r>
    </w:p>
    <w:p>
      <w:pPr>
        <w:pStyle w:val="Heading1"/>
        <w:spacing w:after="100"/>
      </w:pPr>
      <w:r>
        <w:t>Приложения и отправка</w:t>
      </w:r>
    </w:p>
    <w:p>
      <w:pPr>
        <w:spacing w:after="100"/>
      </w:pPr>
      <w:r>
        <w:t>Приложения: протокол Т-01 от 3 октября, видео В-01, ТЗ версии 1, копия акта А-1. Отправлено в согласованной системе ЭДО; подтверждение доставки сохранить вместе с документом.</w:t>
      </w:r>
    </w:p>
    <w:p>
      <w:pPr>
        <w:spacing w:after="100"/>
      </w:pPr>
      <w:r>
        <w:t>Представитель Заказчика Пример Иван Учебный __________________</w:t>
      </w:r>
    </w:p>
    <w:p>
      <w:r>
        <w:br w:type="page"/>
      </w:r>
    </w:p>
    <w:p>
      <w:pPr>
        <w:pStyle w:val="Title"/>
        <w:spacing w:after="100"/>
      </w:pPr>
      <w:r>
        <w:t>Инструкция по заполнению</w:t>
      </w:r>
    </w:p>
    <w:p>
      <w:pPr>
        <w:spacing w:after="100"/>
      </w:pPr>
      <w:r>
        <w:t>Опишите не просто недовольство, а конкретное несоответствие договору: пункт задания, фактический результат, доказательство и требование. Подходит для подготовки мотивированного ответа на акт.</w:t>
      </w:r>
    </w:p>
    <w:p>
      <w:pPr>
        <w:pStyle w:val="Heading1"/>
        <w:spacing w:after="100"/>
      </w:pPr>
      <w:r>
        <w:t>Область применения</w:t>
      </w:r>
    </w:p>
    <w:p>
      <w:pPr>
        <w:spacing w:after="100"/>
      </w:pPr>
      <w:r>
        <w:t>Для обычного гражданско-правового подряда и фиксации замечаний при приёмке. Не универсальная форма для строительного подряда, закупок по 44-ФЗ и 223-ФЗ или потребительского спора: у них могут быть специальные правила и процедуры.</w:t>
      </w:r>
    </w:p>
    <w:p>
      <w:pPr>
        <w:pStyle w:val="Heading1"/>
        <w:spacing w:after="100"/>
      </w:pPr>
      <w:r>
        <w:t>Порядок заполнения</w:t>
      </w:r>
    </w:p>
    <w:p>
      <w:pPr>
        <w:pStyle w:val="ListNumber"/>
        <w:spacing w:after="100"/>
      </w:pPr>
      <w:r>
        <w:t>Проверьте срок и канал ответа в договоре. Сохраните предъявленный акт и дату его получения; не откладывайте сообщение о выявленных недостатках.</w:t>
      </w:r>
    </w:p>
    <w:p>
      <w:pPr>
        <w:pStyle w:val="ListNumber"/>
        <w:spacing w:after="100"/>
      </w:pPr>
      <w:r>
        <w:t>Для каждого замечания приведите проверяемое требование и факт. Новое пожелание сверх согласованного объёма оформляйте как изменение задания, а не как дефект.</w:t>
      </w:r>
    </w:p>
    <w:p>
      <w:pPr>
        <w:pStyle w:val="ListNumber"/>
        <w:spacing w:after="100"/>
      </w:pPr>
      <w:r>
        <w:t>Выберите позицию по акту с учётом характера недостатков. Не утверждайте, что любой дефект автоматически даёт право отказаться от всей работы или оплаты.</w:t>
      </w:r>
    </w:p>
    <w:p>
      <w:pPr>
        <w:pStyle w:val="ListNumber"/>
        <w:spacing w:after="100"/>
      </w:pPr>
      <w:r>
        <w:t>Сохраните отправленный документ, приложения и подтверждение доставки. Предложите конкретный способ устранения и повторного осмотра; при споре о причинах недостатков может потребоваться экспертиза.</w:t>
      </w:r>
    </w:p>
    <w:p>
      <w:pPr>
        <w:pStyle w:val="Heading1"/>
        <w:spacing w:after="100"/>
      </w:pPr>
      <w:r>
        <w:t>Ограничения</w:t>
      </w:r>
    </w:p>
    <w:p>
      <w:pPr>
        <w:spacing w:after="100"/>
      </w:pPr>
      <w:r>
        <w:t>По статье 720 ГК РФ важно своевременно заявлять недостатки и фиксировать их при приёмке. Для явных и скрытых недостатков правила отличаются.</w:t>
      </w:r>
    </w:p>
    <w:p>
      <w:pPr>
        <w:spacing w:after="100"/>
      </w:pPr>
      <w:r>
        <w:t>Выбор требований по статье 723 ГК РФ зависит от характера недостатков, закона и договора. Возмещение самостоятельного ремонта, отказ от договора и неоплата не возникают автоматически из этого шаблона.</w:t>
      </w:r>
    </w:p>
    <w:p>
      <w:pPr>
        <w:spacing w:after="100"/>
      </w:pPr>
      <w:r>
        <w:t>Если результат уже принят или акт односторонний, нужна отдельная оценка последствий. Этот документ не заменяет судебную претензию, экспертизу или специальный акт строительной приёмки.</w:t>
      </w:r>
    </w:p>
    <w:p>
      <w:pPr>
        <w:pStyle w:val="Heading1"/>
        <w:spacing w:after="100"/>
      </w:pPr>
      <w:r>
        <w:t>Правовые ориентиры</w:t>
      </w:r>
    </w:p>
    <w:p>
      <w:pPr>
        <w:spacing w:after="100"/>
      </w:pPr>
      <w:r>
        <w:t>ГК РФ статья 720 о приёмке работы</w:t>
      </w:r>
    </w:p>
    <w:p>
      <w:pPr>
        <w:spacing w:after="100"/>
      </w:pPr>
      <w:r>
        <w:rPr>
          <w:sz w:val="18"/>
        </w:rPr>
        <w:t>https://www.consultant.ru/document/cons_doc_LAW_9027/48e02faf6357243a0fa7806dd7ca2dc2493301a8/</w:t>
      </w:r>
    </w:p>
    <w:p>
      <w:pPr>
        <w:spacing w:after="100"/>
      </w:pPr>
      <w:r>
        <w:t>ГК РФ статья 723 о недостатках результата</w:t>
      </w:r>
    </w:p>
    <w:p>
      <w:pPr>
        <w:spacing w:after="100"/>
      </w:pPr>
      <w:r>
        <w:rPr>
          <w:sz w:val="18"/>
        </w:rPr>
        <w:t>https://www.consultant.ru/document/cons_doc_LAW_9027/0f3422f73df7bee03d56085359c80be8d2981ead/</w:t>
      </w:r>
    </w:p>
    <w:p>
      <w:pPr>
        <w:spacing w:after="100"/>
      </w:pPr>
      <w:r>
        <w:t>Общие нормы сверены 3 октября 2026. Шаблон требует адаптации к вашей сделке и не заменяет индивидуальную юридическую консультацию.</w:t>
      </w:r>
    </w:p>
    <w:p>
      <w:pPr>
        <w:spacing w:after="100"/>
      </w:pPr>
      <w:r>
        <w:t>Другие материалы и проверка договора: https://prodogovor.online/dokumenty/zamechaniya-k-aktu-vypolnennyh-rabot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Мотивированные замечания к акту выполненных работ</dc:title>
  <dc:subject/>
  <dc:creator>ПроверкаДоговоров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